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D6A45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33E2AB7D" w14:textId="77777777" w:rsidR="00E26F13" w:rsidRDefault="008235EE" w:rsidP="00EB200C">
      <w:pPr>
        <w:pStyle w:val="Ttulo"/>
        <w:rPr>
          <w:sz w:val="10"/>
        </w:rPr>
      </w:pPr>
      <w:r>
        <w:pict w14:anchorId="21732724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6D0B9A">
        <w:t>REGISTRO DE UNIONES DE HECHO</w:t>
      </w:r>
    </w:p>
    <w:p w14:paraId="19D9ACC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4EC559D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3306C9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0414F61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5AE930D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3C2160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7D4B19D" w14:textId="77777777" w:rsidR="00E26F13" w:rsidRDefault="006D0B9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Registro de uniones de hecho</w:t>
            </w:r>
          </w:p>
        </w:tc>
      </w:tr>
      <w:tr w:rsidR="00E26F13" w14:paraId="12F8347A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54C2A59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46015CE4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D557863" w14:textId="72DF9C6B" w:rsidR="00E26F13" w:rsidRPr="00EB200C" w:rsidRDefault="00794828" w:rsidP="008235EE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8235EE">
              <w:rPr>
                <w:color w:val="808080"/>
                <w:sz w:val="18"/>
              </w:rPr>
              <w:t>Gestión</w:t>
            </w:r>
            <w:r w:rsidR="006D0B9A">
              <w:rPr>
                <w:color w:val="808080"/>
                <w:sz w:val="18"/>
              </w:rPr>
              <w:t xml:space="preserve"> del registro de uniones de hecho del municipio acorde a los fines que establece </w:t>
            </w:r>
            <w:r w:rsidR="008235EE">
              <w:rPr>
                <w:color w:val="808080"/>
                <w:sz w:val="18"/>
              </w:rPr>
              <w:t>la normativa de aplicación</w:t>
            </w:r>
            <w:r w:rsidR="006D0B9A">
              <w:rPr>
                <w:color w:val="808080"/>
                <w:sz w:val="18"/>
              </w:rPr>
              <w:t>.</w:t>
            </w:r>
          </w:p>
        </w:tc>
      </w:tr>
    </w:tbl>
    <w:p w14:paraId="5701DCD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D834BD2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491C2D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100BE5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4C42FD8C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6EC089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812974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295B150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105D3E1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179E276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FE36406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643841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730381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765ACE2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31812C7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392EB5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0F341CE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14A3A9CD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5B5EC38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5D4492D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2AC3322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5B1FBEA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D67E46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0341F3A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81A1834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C1F2E59" w14:textId="3C9A65A2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B66E56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B66E56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687BFFD9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42D607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BDA159D" w14:textId="203E425A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B66E56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74A3CFA6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78132389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1473AB4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6435319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B61FF5A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098DF6D7" w14:textId="77777777" w:rsidR="00E26F13" w:rsidRDefault="008235EE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7FD7BA5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215DBF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BA4DD42" w14:textId="77777777" w:rsidR="00E26F13" w:rsidRDefault="00E26F13">
      <w:pPr>
        <w:pStyle w:val="Textoindependiente"/>
        <w:spacing w:before="1"/>
        <w:rPr>
          <w:sz w:val="19"/>
        </w:rPr>
      </w:pPr>
    </w:p>
    <w:p w14:paraId="2EC92C35" w14:textId="44E97FD2" w:rsidR="006D0B9A" w:rsidRPr="006D0B9A" w:rsidRDefault="001A3021" w:rsidP="006D0B9A">
      <w:pPr>
        <w:pStyle w:val="Textoindependiente"/>
        <w:spacing w:before="2"/>
        <w:ind w:left="842"/>
        <w:rPr>
          <w:color w:val="808080"/>
        </w:rPr>
      </w:pPr>
      <w:r w:rsidRPr="001A3021">
        <w:rPr>
          <w:color w:val="808080"/>
        </w:rPr>
        <w:t xml:space="preserve">Artículo </w:t>
      </w:r>
      <w:r w:rsidR="006D0B9A" w:rsidRPr="006D0B9A">
        <w:rPr>
          <w:color w:val="808080"/>
        </w:rPr>
        <w:t>6.1.</w:t>
      </w:r>
      <w:r w:rsidR="00B66E56">
        <w:rPr>
          <w:color w:val="808080"/>
        </w:rPr>
        <w:t>a</w:t>
      </w:r>
      <w:r w:rsidR="006D0B9A" w:rsidRPr="006D0B9A">
        <w:rPr>
          <w:color w:val="808080"/>
        </w:rPr>
        <w:t xml:space="preserve">) </w:t>
      </w:r>
      <w:r w:rsidR="00B66E56">
        <w:rPr>
          <w:color w:val="808080"/>
        </w:rPr>
        <w:t>RGPD</w:t>
      </w:r>
      <w:r w:rsidR="006D0B9A" w:rsidRPr="006D0B9A">
        <w:rPr>
          <w:color w:val="808080"/>
        </w:rPr>
        <w:t>. El interesado dio su consentimiento para el tratamiento de sus datos personales para uno o varios fines específicos.</w:t>
      </w:r>
    </w:p>
    <w:p w14:paraId="76B1B136" w14:textId="0780B6BA" w:rsidR="006D0B9A" w:rsidRDefault="006D0B9A" w:rsidP="006D0B9A">
      <w:pPr>
        <w:pStyle w:val="Textoindependiente"/>
        <w:spacing w:before="2"/>
        <w:ind w:left="842"/>
        <w:rPr>
          <w:color w:val="808080"/>
        </w:rPr>
      </w:pPr>
      <w:r w:rsidRPr="006D0B9A">
        <w:rPr>
          <w:color w:val="808080"/>
        </w:rPr>
        <w:t xml:space="preserve">Artículo 6.1.c) </w:t>
      </w:r>
      <w:r w:rsidR="00B66E56">
        <w:rPr>
          <w:color w:val="808080"/>
        </w:rPr>
        <w:t>RGPD</w:t>
      </w:r>
      <w:r w:rsidRPr="006D0B9A">
        <w:rPr>
          <w:color w:val="808080"/>
        </w:rPr>
        <w:t>. El tratamiento es necesario para el cumplimiento de una obligación legal aplicable al responsable del tratamiento.</w:t>
      </w:r>
    </w:p>
    <w:p w14:paraId="6FEEA8CD" w14:textId="7DF09153" w:rsidR="008235EE" w:rsidRPr="006D0B9A" w:rsidRDefault="008235EE" w:rsidP="006D0B9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6.1. e) </w:t>
      </w:r>
      <w:r w:rsidRPr="008235EE">
        <w:rPr>
          <w:color w:val="808080"/>
        </w:rPr>
        <w:t>el tratamiento es necesario para el cumplimiento de una misión realizada en interés público o en el ejercicio de poderes públicos conferidos al responsable del tratamiento</w:t>
      </w:r>
      <w:r>
        <w:rPr>
          <w:color w:val="808080"/>
        </w:rPr>
        <w:t>.</w:t>
      </w:r>
    </w:p>
    <w:p w14:paraId="19E85B28" w14:textId="77777777" w:rsidR="00E26F13" w:rsidRDefault="006D0B9A" w:rsidP="006D0B9A">
      <w:pPr>
        <w:pStyle w:val="Textoindependiente"/>
        <w:spacing w:before="2"/>
        <w:ind w:left="842"/>
        <w:rPr>
          <w:sz w:val="16"/>
        </w:rPr>
      </w:pPr>
      <w:r w:rsidRPr="006D0B9A">
        <w:rPr>
          <w:color w:val="808080"/>
        </w:rPr>
        <w:t xml:space="preserve">Ley 5/2002, de 16 de diciembre, de parejas de hecho. 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B1431A" wp14:editId="0068310A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842C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01FDCECC" w14:textId="77777777" w:rsidR="00E26F13" w:rsidRDefault="00E26F13">
      <w:pPr>
        <w:pStyle w:val="Textoindependiente"/>
        <w:spacing w:before="11"/>
        <w:rPr>
          <w:sz w:val="6"/>
        </w:rPr>
      </w:pPr>
    </w:p>
    <w:p w14:paraId="00F3239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AA9AD55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A6B4CF2" w14:textId="77777777" w:rsidR="00675DBC" w:rsidRDefault="006D0B9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6D0B9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</w:t>
      </w:r>
    </w:p>
    <w:p w14:paraId="7173BA08" w14:textId="77777777" w:rsidR="00E26F13" w:rsidRDefault="008235EE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55AA9C28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7FB4BA51" w14:textId="77777777" w:rsidR="00E26F13" w:rsidRDefault="00E26F13">
      <w:pPr>
        <w:pStyle w:val="Textoindependiente"/>
        <w:spacing w:before="4"/>
        <w:rPr>
          <w:sz w:val="17"/>
        </w:rPr>
      </w:pPr>
    </w:p>
    <w:p w14:paraId="535CA78A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24944B8D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82321B5" w14:textId="77777777" w:rsidR="005915FE" w:rsidRPr="005915FE" w:rsidRDefault="0072681E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Ciudadanos/as y personas residentes solicitantes o su representante legal.</w:t>
      </w:r>
    </w:p>
    <w:p w14:paraId="26D11384" w14:textId="77777777" w:rsidR="00E26F13" w:rsidRDefault="008235E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C5A1D32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3DE684F9" w14:textId="77777777" w:rsidR="00E26F13" w:rsidRDefault="00E26F13">
      <w:pPr>
        <w:pStyle w:val="Textoindependiente"/>
        <w:rPr>
          <w:sz w:val="20"/>
        </w:rPr>
      </w:pPr>
    </w:p>
    <w:p w14:paraId="4F880C03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141BAD7" w14:textId="77777777" w:rsidR="005915FE" w:rsidRPr="00794828" w:rsidRDefault="0072681E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Ciudadanos/as y personas residentes solicitantes</w:t>
      </w:r>
      <w:r w:rsidR="00675DBC">
        <w:rPr>
          <w:color w:val="808080"/>
        </w:rPr>
        <w:t>.</w:t>
      </w:r>
    </w:p>
    <w:p w14:paraId="41A98539" w14:textId="77777777" w:rsidR="00E26F13" w:rsidRDefault="008235E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531A373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1F68C19D" w14:textId="77777777" w:rsidR="00E26F13" w:rsidRDefault="00E26F13">
      <w:pPr>
        <w:pStyle w:val="Textoindependiente"/>
        <w:spacing w:before="6"/>
        <w:rPr>
          <w:sz w:val="16"/>
        </w:rPr>
      </w:pPr>
    </w:p>
    <w:p w14:paraId="10D858B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56D00C3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28834C68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67097FC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24690683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016EB8D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A575BCA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2E70F88A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C2B96E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F49B293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9549F53" w14:textId="77777777" w:rsidR="00B84956" w:rsidRPr="005915FE" w:rsidRDefault="0072681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No se tratan</w:t>
            </w:r>
          </w:p>
        </w:tc>
      </w:tr>
      <w:tr w:rsidR="00E26F13" w14:paraId="21AB383B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EFB8140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519A5A2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29816535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4147054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7F262AB1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7640C2E1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2D81383C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5157316F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19104EC9" w14:textId="77777777" w:rsidR="00B84956" w:rsidRPr="00DF707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</w:tc>
      </w:tr>
      <w:tr w:rsidR="00EE63CC" w14:paraId="0CBF3E87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09906A7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49A0F8A1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F6F08A9" w14:textId="2CDFBB19" w:rsidR="00B84956" w:rsidRDefault="008235E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Certificado de Estado Civil</w:t>
            </w:r>
            <w:bookmarkStart w:id="0" w:name="_GoBack"/>
            <w:bookmarkEnd w:id="0"/>
          </w:p>
          <w:p w14:paraId="21AC22DF" w14:textId="77777777" w:rsidR="0072681E" w:rsidRDefault="0072681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Certificado de nacimiento</w:t>
            </w:r>
          </w:p>
          <w:p w14:paraId="63C298EE" w14:textId="77777777" w:rsidR="0072681E" w:rsidRDefault="0072681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Características Personales</w:t>
            </w:r>
          </w:p>
          <w:p w14:paraId="3B71CD16" w14:textId="77777777" w:rsidR="0072681E" w:rsidRDefault="0072681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Circunstancias sociales</w:t>
            </w:r>
          </w:p>
          <w:p w14:paraId="17D58AAE" w14:textId="77777777" w:rsidR="0072681E" w:rsidRDefault="0072681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Certificado de Emancipación (en su caso)</w:t>
            </w:r>
          </w:p>
          <w:p w14:paraId="7635E5D6" w14:textId="77777777" w:rsidR="0072681E" w:rsidRDefault="0072681E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Fecha de nacimiento</w:t>
            </w:r>
          </w:p>
        </w:tc>
      </w:tr>
    </w:tbl>
    <w:p w14:paraId="1FCE773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4EC05F55" w14:textId="77777777" w:rsidR="00E26F13" w:rsidRDefault="008235EE">
      <w:pPr>
        <w:pStyle w:val="Ttulo2"/>
        <w:tabs>
          <w:tab w:val="left" w:pos="10164"/>
        </w:tabs>
        <w:spacing w:before="236"/>
        <w:ind w:hanging="142"/>
      </w:pPr>
      <w:r>
        <w:pict w14:anchorId="7C5834C9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45161E5D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7C97B17E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62813B9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12D6E8D8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9AF5EAA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7CF8270" w14:textId="77777777" w:rsidR="00AC373A" w:rsidRPr="00A4161C" w:rsidRDefault="0072681E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72681E">
        <w:rPr>
          <w:bCs/>
          <w:color w:val="808080"/>
          <w:sz w:val="18"/>
          <w:szCs w:val="18"/>
        </w:rPr>
        <w:t>Delegación de Salud y Bienestar Social de la Junta de Andalucía (Registro de Parejas de Hecho)</w:t>
      </w:r>
      <w:r>
        <w:rPr>
          <w:bCs/>
          <w:color w:val="808080"/>
          <w:sz w:val="18"/>
          <w:szCs w:val="18"/>
        </w:rPr>
        <w:t>.</w:t>
      </w:r>
    </w:p>
    <w:p w14:paraId="2ECBE4FF" w14:textId="77777777" w:rsidR="00707242" w:rsidRPr="005915FE" w:rsidRDefault="008235EE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C23D1B2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5F1CCA19" w14:textId="77777777" w:rsidR="00707242" w:rsidRDefault="00707242">
      <w:pPr>
        <w:pStyle w:val="Textoindependiente"/>
        <w:spacing w:before="6"/>
        <w:rPr>
          <w:sz w:val="16"/>
        </w:rPr>
      </w:pPr>
    </w:p>
    <w:p w14:paraId="6E821B83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10666927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216E91FF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3DCBAAF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5F2AA4A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97B7CC6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7ACF457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29E3A3DA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D11AF39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4A7BED0E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F4219A4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5DE5D1A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EA694F2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11265ACA" w14:textId="77777777" w:rsidR="00B84956" w:rsidRDefault="00B84956" w:rsidP="00700FBA">
      <w:pPr>
        <w:tabs>
          <w:tab w:val="left" w:pos="1549"/>
          <w:tab w:val="left" w:pos="1550"/>
        </w:tabs>
        <w:rPr>
          <w:sz w:val="28"/>
        </w:rPr>
      </w:pPr>
    </w:p>
    <w:p w14:paraId="0775BF2B" w14:textId="77777777" w:rsidR="0072681E" w:rsidRDefault="0072681E" w:rsidP="00700FBA">
      <w:pPr>
        <w:tabs>
          <w:tab w:val="left" w:pos="1549"/>
          <w:tab w:val="left" w:pos="1550"/>
        </w:tabs>
        <w:rPr>
          <w:sz w:val="28"/>
        </w:rPr>
      </w:pPr>
    </w:p>
    <w:p w14:paraId="4B33888C" w14:textId="77777777" w:rsidR="0072681E" w:rsidRPr="00700FBA" w:rsidRDefault="0072681E" w:rsidP="00700FBA">
      <w:pPr>
        <w:tabs>
          <w:tab w:val="left" w:pos="1549"/>
          <w:tab w:val="left" w:pos="1550"/>
        </w:tabs>
        <w:rPr>
          <w:sz w:val="28"/>
        </w:rPr>
      </w:pPr>
    </w:p>
    <w:p w14:paraId="130A37FB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0A1258DA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508D8652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CE74D4D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5EC037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066E1A9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2A4E85E3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70A9" w14:textId="77777777" w:rsidR="00812E24" w:rsidRDefault="00812E24">
      <w:r>
        <w:separator/>
      </w:r>
    </w:p>
  </w:endnote>
  <w:endnote w:type="continuationSeparator" w:id="0">
    <w:p w14:paraId="22CCD51C" w14:textId="77777777" w:rsidR="00812E24" w:rsidRDefault="0081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B262" w14:textId="77777777" w:rsidR="00812E24" w:rsidRDefault="00812E24">
      <w:r>
        <w:separator/>
      </w:r>
    </w:p>
  </w:footnote>
  <w:footnote w:type="continuationSeparator" w:id="0">
    <w:p w14:paraId="497D6D23" w14:textId="77777777" w:rsidR="00812E24" w:rsidRDefault="0081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9723" w14:textId="77777777" w:rsidR="00E26F13" w:rsidRDefault="008235EE">
    <w:pPr>
      <w:pStyle w:val="Textoindependiente"/>
      <w:spacing w:line="14" w:lineRule="auto"/>
      <w:rPr>
        <w:sz w:val="20"/>
      </w:rPr>
    </w:pPr>
    <w:r>
      <w:pict w14:anchorId="2F3099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66AD5CA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B988E15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445C86"/>
    <w:rsid w:val="00494431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12E24"/>
    <w:rsid w:val="008235EE"/>
    <w:rsid w:val="00873211"/>
    <w:rsid w:val="009177E5"/>
    <w:rsid w:val="00A4161C"/>
    <w:rsid w:val="00AA477E"/>
    <w:rsid w:val="00AC373A"/>
    <w:rsid w:val="00B66E56"/>
    <w:rsid w:val="00B81579"/>
    <w:rsid w:val="00B84956"/>
    <w:rsid w:val="00C419F0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78DF98A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7334-4B8D-4D8C-9C1C-69785310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27</cp:revision>
  <dcterms:created xsi:type="dcterms:W3CDTF">2022-03-30T11:13:00Z</dcterms:created>
  <dcterms:modified xsi:type="dcterms:W3CDTF">2022-05-17T06:32:00Z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